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B9F5E" w14:textId="4B7A3B6D" w:rsidR="002D0C8A" w:rsidRDefault="002D0C8A" w:rsidP="002D0C8A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</w:t>
      </w:r>
      <w:r w:rsidR="00B62439">
        <w:rPr>
          <w:b/>
          <w:bCs/>
        </w:rPr>
        <w:t>1</w:t>
      </w:r>
      <w:r w:rsidRPr="00AB21BB">
        <w:rPr>
          <w:b/>
          <w:bCs/>
        </w:rPr>
        <w:t xml:space="preserve"> do Zapytania ofertowego nr </w:t>
      </w:r>
      <w:r w:rsidRPr="00FD5BEA">
        <w:rPr>
          <w:b/>
          <w:bCs/>
        </w:rPr>
        <w:t xml:space="preserve"> 0</w:t>
      </w:r>
      <w:r w:rsidR="00C50C05">
        <w:rPr>
          <w:b/>
          <w:bCs/>
        </w:rPr>
        <w:t>2</w:t>
      </w:r>
      <w:r w:rsidRPr="00FD5BEA">
        <w:rPr>
          <w:b/>
          <w:bCs/>
        </w:rPr>
        <w:t>/0</w:t>
      </w:r>
      <w:r>
        <w:rPr>
          <w:b/>
          <w:bCs/>
        </w:rPr>
        <w:t>4</w:t>
      </w:r>
      <w:r w:rsidRPr="00FD5BEA">
        <w:rPr>
          <w:b/>
          <w:bCs/>
        </w:rPr>
        <w:t>/202</w:t>
      </w:r>
      <w:r>
        <w:rPr>
          <w:b/>
          <w:bCs/>
        </w:rPr>
        <w:t>5</w:t>
      </w:r>
      <w:r w:rsidR="007A0A3C">
        <w:rPr>
          <w:b/>
          <w:bCs/>
        </w:rPr>
        <w:t xml:space="preserve"> – Opis przedmiotu zamówienia</w:t>
      </w:r>
    </w:p>
    <w:bookmarkEnd w:id="0"/>
    <w:p w14:paraId="25ECCA51" w14:textId="77777777" w:rsidR="00571581" w:rsidRDefault="00571581">
      <w:pPr>
        <w:rPr>
          <w:sz w:val="20"/>
          <w:szCs w:val="20"/>
        </w:rPr>
      </w:pPr>
    </w:p>
    <w:p w14:paraId="081A5E5F" w14:textId="77777777" w:rsidR="00571581" w:rsidRDefault="00571581">
      <w:pPr>
        <w:rPr>
          <w:sz w:val="20"/>
          <w:szCs w:val="20"/>
        </w:rPr>
      </w:pPr>
    </w:p>
    <w:p w14:paraId="475C1547" w14:textId="59CF6D93" w:rsidR="00585D2C" w:rsidRDefault="00585D2C">
      <w:pPr>
        <w:rPr>
          <w:sz w:val="20"/>
          <w:szCs w:val="20"/>
        </w:rPr>
      </w:pPr>
      <w:r w:rsidRPr="00585D2C">
        <w:rPr>
          <w:sz w:val="20"/>
          <w:szCs w:val="20"/>
        </w:rPr>
        <w:t>Przedmiotem zamówienia jest dostawa</w:t>
      </w:r>
      <w:r>
        <w:rPr>
          <w:sz w:val="20"/>
          <w:szCs w:val="20"/>
        </w:rPr>
        <w:t xml:space="preserve">, </w:t>
      </w:r>
      <w:r w:rsidRPr="00585D2C">
        <w:rPr>
          <w:sz w:val="20"/>
          <w:szCs w:val="20"/>
        </w:rPr>
        <w:t xml:space="preserve">montaż </w:t>
      </w:r>
      <w:r>
        <w:rPr>
          <w:sz w:val="20"/>
          <w:szCs w:val="20"/>
        </w:rPr>
        <w:t xml:space="preserve">i uruchomienie </w:t>
      </w:r>
      <w:r w:rsidRPr="00585D2C">
        <w:rPr>
          <w:sz w:val="20"/>
          <w:szCs w:val="20"/>
        </w:rPr>
        <w:t xml:space="preserve">fabrycznie nowego nieużywanego </w:t>
      </w:r>
      <w:r>
        <w:rPr>
          <w:sz w:val="20"/>
          <w:szCs w:val="20"/>
        </w:rPr>
        <w:t>Sprzętu serwerowo - sieciow</w:t>
      </w:r>
      <w:r w:rsidR="005D2754">
        <w:rPr>
          <w:sz w:val="20"/>
          <w:szCs w:val="20"/>
        </w:rPr>
        <w:t>ego</w:t>
      </w:r>
      <w:r>
        <w:rPr>
          <w:sz w:val="20"/>
          <w:szCs w:val="20"/>
        </w:rPr>
        <w:t>, sprzętu komputerowego oraz oprogramowania teleinformatycznego</w:t>
      </w:r>
      <w:r w:rsidRPr="00585D2C">
        <w:rPr>
          <w:sz w:val="20"/>
          <w:szCs w:val="20"/>
        </w:rPr>
        <w:t>, o następujących parametrach:</w:t>
      </w:r>
    </w:p>
    <w:p w14:paraId="1CD540DB" w14:textId="77777777" w:rsidR="00585D2C" w:rsidRDefault="00585D2C">
      <w:pPr>
        <w:rPr>
          <w:sz w:val="20"/>
          <w:szCs w:val="20"/>
        </w:rPr>
      </w:pPr>
    </w:p>
    <w:p w14:paraId="674D9693" w14:textId="77777777" w:rsidR="00571581" w:rsidRDefault="00571581">
      <w:pPr>
        <w:rPr>
          <w:sz w:val="20"/>
          <w:szCs w:val="20"/>
        </w:rPr>
      </w:pPr>
    </w:p>
    <w:p w14:paraId="26967592" w14:textId="3D764B75" w:rsidR="00571581" w:rsidRDefault="00000000">
      <w:pPr>
        <w:rPr>
          <w:b/>
          <w:bCs/>
          <w:sz w:val="20"/>
          <w:szCs w:val="20"/>
        </w:rPr>
      </w:pPr>
      <w:bookmarkStart w:id="1" w:name="_Hlk194591455"/>
      <w:r>
        <w:rPr>
          <w:b/>
          <w:bCs/>
          <w:sz w:val="20"/>
          <w:szCs w:val="20"/>
        </w:rPr>
        <w:t>Wymagania ogólne, dotyczące wszystkich opisanych rodzajów sprzętu</w:t>
      </w:r>
      <w:r w:rsidR="00CC285D">
        <w:rPr>
          <w:b/>
          <w:bCs/>
          <w:sz w:val="20"/>
          <w:szCs w:val="20"/>
        </w:rPr>
        <w:t>:</w:t>
      </w:r>
    </w:p>
    <w:tbl>
      <w:tblPr>
        <w:tblW w:w="4972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"/>
        <w:gridCol w:w="9067"/>
      </w:tblGrid>
      <w:tr w:rsidR="00325906" w14:paraId="33F7F56A" w14:textId="77777777" w:rsidTr="00417A0C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938A7" w14:textId="5191E064" w:rsidR="00325906" w:rsidRDefault="00325906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</w:t>
            </w:r>
            <w:r w:rsidR="00417A0C">
              <w:rPr>
                <w:sz w:val="20"/>
                <w:szCs w:val="20"/>
              </w:rPr>
              <w:t>.</w:t>
            </w:r>
          </w:p>
        </w:tc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F5DF9" w14:textId="77777777" w:rsidR="00325906" w:rsidRDefault="00325906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Wymóg</w:t>
            </w:r>
          </w:p>
        </w:tc>
      </w:tr>
      <w:tr w:rsidR="00325906" w14:paraId="385D7E05" w14:textId="77777777" w:rsidTr="00417A0C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4A8EB388" w14:textId="77777777" w:rsidR="00325906" w:rsidRDefault="00325906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A41F2" w14:textId="77777777" w:rsidR="00325906" w:rsidRDefault="00325906" w:rsidP="002D0C8A">
            <w:pPr>
              <w:pStyle w:val="normal1"/>
              <w:widowControl w:val="0"/>
              <w:spacing w:before="1"/>
              <w:ind w:left="6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Wszystkie dostarczone komponenty, urządzenia i akcesoria muszą być fabrycznie nowe i nieużywane wcześniej w żadnych projektach, wyprodukowane nie wcześniej niż 12mc miesięcy przed dostawą i nieużywane przed dniem dostarczenia z wyłączeniem używania niezbędnego dla przeprowadzenia testu ich poprawnej pracy.</w:t>
            </w:r>
          </w:p>
          <w:p w14:paraId="5610BD13" w14:textId="3DBFE9B5" w:rsidR="00325906" w:rsidRDefault="00325906" w:rsidP="002D0C8A">
            <w:pPr>
              <w:pStyle w:val="normal1"/>
              <w:widowControl w:val="0"/>
              <w:spacing w:before="28"/>
              <w:ind w:left="72" w:right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Wszystkie dostarczone komponenty, urządzenia i akcesoria muszą pochodzić z autoryzowanego kanału dystrybucji producenta przeznaczonego na teren Unii Europejskiej.</w:t>
            </w:r>
          </w:p>
        </w:tc>
      </w:tr>
      <w:tr w:rsidR="00325906" w14:paraId="6500199F" w14:textId="77777777" w:rsidTr="00417A0C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75B85FA7" w14:textId="77777777" w:rsidR="00325906" w:rsidRDefault="00325906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3A81B4" w14:textId="77777777" w:rsidR="00325906" w:rsidRDefault="00325906" w:rsidP="00585D2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 wszelkiej dostępnej dokumentacji dla sprzętu i oprogramowania w języku polskim lub angielskim (gdy producent nie dostarcza w języku polskim). Ponadto Zamawiający wymaga dostarczenia wszelkich dostępnych deklaracji zgodności CE oraz deklaracji/specyfikacji środowiskowych/elektrycznych dla urządzeń prądowo-aktywnych.</w:t>
            </w:r>
          </w:p>
        </w:tc>
      </w:tr>
      <w:tr w:rsidR="00325906" w14:paraId="34616413" w14:textId="77777777" w:rsidTr="00417A0C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4FE3D2A2" w14:textId="77777777" w:rsidR="00325906" w:rsidRDefault="00325906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1483F0" w14:textId="727D4E4B" w:rsidR="00325906" w:rsidRDefault="00325906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Wszystkie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dostarczone komponenty, urządzenia i akcesoria muszą być kompletne, złożone, gotowe do fizycznej instalacji w szafach RACK 19” (za wyjątkiem urządzenia typu laptop), oraz gotowe do uruchomienia elektrycznego i konfiguracji zgodnie z zawartą dokumentacją w celach poprawnego użytkowania.</w:t>
            </w:r>
          </w:p>
        </w:tc>
      </w:tr>
    </w:tbl>
    <w:p w14:paraId="17490D43" w14:textId="77777777" w:rsidR="00571581" w:rsidRDefault="00571581">
      <w:pPr>
        <w:rPr>
          <w:sz w:val="20"/>
          <w:szCs w:val="20"/>
        </w:rPr>
      </w:pPr>
    </w:p>
    <w:p w14:paraId="688E8D71" w14:textId="77777777" w:rsidR="00571581" w:rsidRDefault="00571581">
      <w:pPr>
        <w:rPr>
          <w:sz w:val="20"/>
          <w:szCs w:val="20"/>
        </w:rPr>
      </w:pPr>
    </w:p>
    <w:p w14:paraId="3FD51A8B" w14:textId="77777777" w:rsidR="00571581" w:rsidRDefault="0000000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Laptop – sztuk 1</w:t>
      </w:r>
    </w:p>
    <w:tbl>
      <w:tblPr>
        <w:tblW w:w="4709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41"/>
        <w:gridCol w:w="7427"/>
      </w:tblGrid>
      <w:tr w:rsidR="00322665" w14:paraId="58E6CA79" w14:textId="77777777" w:rsidTr="00322665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272EB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F77E9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</w:tr>
      <w:tr w:rsidR="00322665" w14:paraId="29DB46AE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7BD2B2AC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D65E5" w14:textId="224844C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 xml:space="preserve">Minimum </w:t>
            </w:r>
            <w:r>
              <w:rPr>
                <w:sz w:val="20"/>
                <w:szCs w:val="20"/>
              </w:rPr>
              <w:t>36</w:t>
            </w:r>
            <w:r w:rsidRPr="00DD12D5">
              <w:rPr>
                <w:sz w:val="20"/>
                <w:szCs w:val="20"/>
              </w:rPr>
              <w:t xml:space="preserve"> miesięcy gwarancji realizowanej przez serwis producenta, z możliwym wsparciem i zarządzaniem zgłoszeniami przez web-portal producenta</w:t>
            </w:r>
          </w:p>
        </w:tc>
      </w:tr>
      <w:tr w:rsidR="00322665" w14:paraId="5D643712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auto"/>
            </w:tcBorders>
          </w:tcPr>
          <w:p w14:paraId="34874974" w14:textId="7B909E2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techniczne</w:t>
            </w:r>
          </w:p>
        </w:tc>
        <w:tc>
          <w:tcPr>
            <w:tcW w:w="74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19BCC9" w14:textId="177252FC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>Urządzenie z linii biznesowej, z aluminiową obudową co najmniej dla pokrywy ekranu, z ekranem min. 16” o rozdzielczości min. 1920x1200 i matrycy z powłoką antyrefleksyjną o jasności min. 300 nitów, z podświetlaną klawiaturą i wydzieleniem osobnej klawiatury numerycznej, z wbudowanym mikrofonem i kamerą z rozdzielczością min. FHD i wbudowaną zaślepką, z czytnikiem linii papilarnych oraz gniazdem blokady Kensington. Laptop powinien być wyposażony w procesor min. 8-rdzeniowy / 16-wątkowy i co najmniej 16GB pamięci RAM, w szybki dysk twardy SSD NVMe o pojemności min. 512GB i min. 4 porty USB generacji 3.2, w min. 1 wyjście HDMI 2.1, powinien posiadać wbudowany port LAN RJ45 1Gb i wewnętrzną kartę WIFI obsługującą min. standardy 802.11a/b/g/n/ac/ax. Laptop powinien charakteryzować się certyfikatem TÜV Rheinland Low Blue Light potwierdzającym bezpieczne użytkowanie dla oka ludzkiego oraz potwierdzonymi testami MIL-STD-810H wykazującymi najwyższą jakość i odporność na warunki otoczenia.</w:t>
            </w:r>
          </w:p>
        </w:tc>
      </w:tr>
      <w:tr w:rsidR="00322665" w14:paraId="10271475" w14:textId="77777777" w:rsidTr="00322665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B53B" w14:textId="5E8F265A" w:rsidR="00322665" w:rsidRDefault="00322665">
            <w:pPr>
              <w:pStyle w:val="Zawartotabeli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>Oprogramowanie systemowe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6E3" w14:textId="64294C6B" w:rsidR="00322665" w:rsidRPr="00DD12D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 w:rsidRPr="00DD12D5">
              <w:rPr>
                <w:sz w:val="20"/>
                <w:szCs w:val="20"/>
              </w:rPr>
              <w:t>System operacyjny Windows 11 Pro lub równoważny, umożliwiający podłączanie do domeny realizowanej przez MS Windows Server co najmniej w wersji 2019 (aktualnie działający w placówce) i umożliwiający udostępnianie przez wbudowaną w system usługę pulpitu zdalnego. System operacyjny musi być kompatybilny z narzędziami i aplikacjami do zarządzania serwerami do archiwizacji bazy danych oprogramowania do obsługi poradni oraz archiwizacji dokumentacji medycznej, skanów dokumentów dołączanych do dokumentacji.</w:t>
            </w:r>
          </w:p>
        </w:tc>
      </w:tr>
    </w:tbl>
    <w:p w14:paraId="68A18D25" w14:textId="77777777" w:rsidR="00571581" w:rsidRDefault="00571581">
      <w:pPr>
        <w:rPr>
          <w:sz w:val="20"/>
          <w:szCs w:val="20"/>
        </w:rPr>
      </w:pPr>
    </w:p>
    <w:p w14:paraId="18B0BBF4" w14:textId="77777777" w:rsidR="00571581" w:rsidRDefault="0000000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Serwer do archiwizacji bazy danych oprogramowania do obsługi poradni oraz archiwizacji dokumentacji medycznej, skanów dokumentów dołączanych do dokumentacji – sztuk 3</w:t>
      </w:r>
    </w:p>
    <w:tbl>
      <w:tblPr>
        <w:tblW w:w="4766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41"/>
        <w:gridCol w:w="7536"/>
      </w:tblGrid>
      <w:tr w:rsidR="00322665" w14:paraId="152E3A72" w14:textId="77777777" w:rsidTr="00322665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FC81C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CA34D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</w:tr>
      <w:tr w:rsidR="00322665" w14:paraId="1941EB34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063DE421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570B3" w14:textId="689D1EB3" w:rsidR="00322665" w:rsidRDefault="00322665" w:rsidP="00CC285D">
            <w:pPr>
              <w:pStyle w:val="Zawartotabeli"/>
              <w:jc w:val="both"/>
            </w:pPr>
            <w:r>
              <w:rPr>
                <w:sz w:val="20"/>
                <w:szCs w:val="20"/>
              </w:rPr>
              <w:t xml:space="preserve">Minimum </w:t>
            </w:r>
            <w:r w:rsidR="007B6A11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 miesięcy gwarancji realizowanej przez producenta dla wszystkich urządzeń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i komponentów elektrycznych oraz nie-elektrycznych, z czasem reakcji w miejscu instalacji do końca następnego dnia roboczego od przyjęcia zgłoszenia i z naprawą do 2 dni roboczych od chwili zdiagnozowania usterki, z możliwością zgłaszania awarii poprzez linię telefoniczną producenta lub firmy serwisującej lub Wykonawcy przedmiotu zamówienia.</w:t>
            </w:r>
          </w:p>
          <w:p w14:paraId="41A14B09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Możliwość sprawdzenia statusu gwarancji poprzez stronę internetową producenta lub telefonicznie.</w:t>
            </w:r>
          </w:p>
        </w:tc>
      </w:tr>
      <w:tr w:rsidR="00322665" w14:paraId="3C4289EB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52A6381E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Serwer HCI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C3C2CB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Hiperkonwergentny serwer realizujący komplementarny, 3-serwerowy klaster do bezpiecznej i wydajnej archiwizacji oraz udostępniania baz danych medycznych i skanów dokumentów dołączanych do dokumentacji</w:t>
            </w:r>
          </w:p>
        </w:tc>
      </w:tr>
      <w:tr w:rsidR="00322665" w14:paraId="6BC9CA60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44BE63ED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z zasilaczem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0C5C6E" w14:textId="730ECF19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serwera w rozmiarze 1U, w komplecie z szynami montażowymi do montażu w szafie RACK 19”, z zasilaczami redundantnymi o mocy min. 700W każdy, z co najmniej 8 zatokami i kieszeniami na dyski HDD/SSD 2.5” oraz 2 zatokami i kieszeniami dla dysków NMVe U.2</w:t>
            </w:r>
          </w:p>
        </w:tc>
      </w:tr>
      <w:tr w:rsidR="00322665" w14:paraId="0648C17C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54665789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Interfejsy sieciowe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8F9D5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4 niezależne porty RJ45 o prędkości 10Gb, oraz osobny port do zarządzania serwisowego typu IPMI</w:t>
            </w:r>
          </w:p>
        </w:tc>
      </w:tr>
      <w:tr w:rsidR="00322665" w14:paraId="46B34EF4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3C04974C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CPU i RAM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D0618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Procesor obsługujący minimum 24 wątki z pełną prędkością zegara o min. częstotliwości 3.3GHz, z minimum 2 układami AVX-512 FMA, ze współczynnikiem TDP nie przekraczającym 120W, sprzęgnięty z 256GB pamięci RAM pracującej z korekcją ECC i obsadzonej równomiernie w 4 slotach, w celu maksymalizacji wydajności magistrali</w:t>
            </w:r>
          </w:p>
        </w:tc>
      </w:tr>
      <w:tr w:rsidR="00322665" w14:paraId="79AE2DAD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68ED6C2E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danych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C0363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w każdym serwerze HCI zawierający po 2 dyski SSD NVMe PCIe U.2 o pojemności min. 960GB i trwałości min. DWPD 1.0 (5 lat), oraz po 4 dyski SSD SATA 2.5” o pojemności min. 960GB i trwałości min. DWPD 5 (MTBF 3mln godzin), składające się w klastrowy magazyn danych typu SDS – umożliwiający korzystanie z technik „erasure coding” w celu bezpiecznej i wydajnej redundancji danych dla uzyskania min 60% fizycznej przestrzeni z całego klastra jako przestrzeni roboczej dla magazynu bazodanowego</w:t>
            </w:r>
          </w:p>
        </w:tc>
      </w:tr>
      <w:tr w:rsidR="00322665" w14:paraId="0225530D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727DDC80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810C3D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musi wspierać natywną obsługę warstwy wirtualizacji bez żadnych limitów licencyjnych, zachować pełną kompatybilność z archiwizowanymi w placówce bazami danych, danymi medycznymi i usługami je agregującymi, przechowującymi i udostępniającymi. Oprogramowanie musi umożliwiać bezpieczną migrację danych i powiązanych z nimi usług ze starego serwera opartego o system Proxmox, z zachowaniem możliwości minimalnego przestoju w pracy personelu placówki. Oprogramowanie musi zawierać wszelkie niezbędne licencje, które bez względu na ilość dostępnych zasobów sprzętowych (CPU, RAM, dyski), pozwolą korzystać ze wsparcia technicznego producenta w zakresie bezpłatnych poprawek i uaktualnień, co najmniej przez 36 miesięcy od momentu uruchomienia serwera</w:t>
            </w:r>
          </w:p>
        </w:tc>
      </w:tr>
    </w:tbl>
    <w:p w14:paraId="6CEFBDC3" w14:textId="77777777" w:rsidR="00571581" w:rsidRDefault="00571581">
      <w:pPr>
        <w:rPr>
          <w:sz w:val="20"/>
          <w:szCs w:val="20"/>
        </w:rPr>
      </w:pPr>
    </w:p>
    <w:p w14:paraId="444FC9D8" w14:textId="77777777" w:rsidR="00571581" w:rsidRDefault="0000000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UPS serwer – sztuk 1</w:t>
      </w:r>
    </w:p>
    <w:tbl>
      <w:tblPr>
        <w:tblW w:w="4766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41"/>
        <w:gridCol w:w="7536"/>
      </w:tblGrid>
      <w:tr w:rsidR="00322665" w14:paraId="42DA18B0" w14:textId="77777777" w:rsidTr="00322665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1E3FF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472A5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</w:tr>
      <w:tr w:rsidR="00322665" w14:paraId="4108DA69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2A779F63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</w:tcBorders>
          </w:tcPr>
          <w:p w14:paraId="4A2A6ED5" w14:textId="77777777" w:rsidR="00322665" w:rsidRDefault="00322665" w:rsidP="00CC285D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24 miesiące gwarancji na kompletne urządzenie tj. uwzględniającej urządzenie wraz z modułem baterii oraz wszelkimi akcesoriami</w:t>
            </w:r>
          </w:p>
        </w:tc>
      </w:tr>
      <w:tr w:rsidR="00322665" w14:paraId="639D3D40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72A05451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UPS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FABAD" w14:textId="77777777" w:rsidR="00322665" w:rsidRDefault="00322665" w:rsidP="00CC285D">
            <w:pPr>
              <w:pStyle w:val="Zawartotabeli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Zasilacz awaryjny o mocy min. 3000VA i pojemności akumulatorów wewnętrznych co najmniej 9Ah, z min. 8 wyjściami zasilającymi IEC 320 C13 i złączem do podłączenia zewnętrznego modułu bateryjnego. Urządzenie typu ONLINE (z rzeczywistą podwójną konwersją i pełną sinusoidą dla napięcia wyjściowego) oraz współczynniku PF &gt; 0.99, z zabezpieczeniami wej./wyj/DC min. przeciwprzepięciowym, przeciwzwarciowym, przeciwprzeciążeniowym i nadprądowym. Urządzenie w obudowie RACK z wyświetlaczem, przyciskami serwisowymi i diodami LED, z kompletem szyn do montażu w szafie RACK 19”, z funkcjami min.: zimny start, zdalne wyłączanie awaryjne EPO, z  sygnałami akustycznymi i optycznymi. UPS ze zintegrowanym zestawem baterii możliwym do wymiany przez użytkownika, z wbudowaną kartą NMC gotową do wpięcia w infrastrukturę sieciową serwera archiwizującego i bezpłatnym oprogramowaniem w języku polskim do monitoringu oraz zarządzania.</w:t>
            </w:r>
          </w:p>
        </w:tc>
      </w:tr>
    </w:tbl>
    <w:p w14:paraId="22439E96" w14:textId="77777777" w:rsidR="00571581" w:rsidRDefault="00571581">
      <w:pPr>
        <w:rPr>
          <w:sz w:val="20"/>
          <w:szCs w:val="20"/>
        </w:rPr>
      </w:pPr>
    </w:p>
    <w:p w14:paraId="1727AE45" w14:textId="77777777" w:rsidR="00571581" w:rsidRDefault="0000000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 Urządzenie sieciowe typu switch – sztuk 1</w:t>
      </w:r>
    </w:p>
    <w:tbl>
      <w:tblPr>
        <w:tblW w:w="4766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41"/>
        <w:gridCol w:w="7536"/>
      </w:tblGrid>
      <w:tr w:rsidR="00322665" w14:paraId="583571AD" w14:textId="77777777" w:rsidTr="00322665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90238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96D69D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</w:tr>
      <w:tr w:rsidR="00322665" w14:paraId="713EAFAB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2ED096A4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FF05E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Dożywotnia gwarancja producenta na urządzenie, rozumiana jako do momentu końca cyklu życia serwisowego urządzenia, uwzględniająca minimum 60 miesięcy gwarancji od wycofania z produkcji/sprzedaży przez producenta</w:t>
            </w:r>
          </w:p>
        </w:tc>
      </w:tr>
      <w:tr w:rsidR="00322665" w14:paraId="6FAD7741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7283148E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Switch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87AA2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Zarządzalny switch 1U do montażu w szafie rack 19”, zawierający łącznie co najmniej 24 portów miedzianych RJ45 o prędkościach 10Gb i co najmniej 4 porty SFP+, z osobnym portem RJ45 do zarządzania, wszystkie porty powinny działać niezależnie, urządzenie z co najmniej 8MB pamięci bufora dla obsługiwanych pakietów i min. 350 mpps, z możliwością </w:t>
            </w:r>
            <w:r>
              <w:rPr>
                <w:sz w:val="20"/>
                <w:szCs w:val="20"/>
              </w:rPr>
              <w:lastRenderedPageBreak/>
              <w:t>łączenia w stos co najmniej do 8 urządzeń, pobierający w szczycie poniżej 90W mocy, z portem USB np. do podłączania modułu bluetooth, bez konieczności płatnych licencji w celu pełnego wykorzystania wszystkich funkcjonalności, z interfejsem do zarządzania poprzez web oraz konsolę z CLI, w pełni zgodny do integracji z funkcjonującą w placówce infrastrukturą sieciową kompatybilną z CISCO BUSINESS DASHBOARD</w:t>
            </w:r>
          </w:p>
        </w:tc>
      </w:tr>
    </w:tbl>
    <w:p w14:paraId="6CC4DBE4" w14:textId="77777777" w:rsidR="00571581" w:rsidRDefault="00571581">
      <w:pPr>
        <w:rPr>
          <w:sz w:val="20"/>
          <w:szCs w:val="20"/>
        </w:rPr>
      </w:pPr>
    </w:p>
    <w:p w14:paraId="5734AD97" w14:textId="77777777" w:rsidR="00571581" w:rsidRDefault="0000000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Serwer backupowy wraz z oprogramowaniem serwerowym i backupowym i macierzą dyskową</w:t>
      </w:r>
      <w:r>
        <w:rPr>
          <w:b/>
          <w:bCs/>
          <w:sz w:val="20"/>
          <w:szCs w:val="20"/>
        </w:rPr>
        <w:br/>
        <w:t>– sztuk 1</w:t>
      </w:r>
    </w:p>
    <w:tbl>
      <w:tblPr>
        <w:tblW w:w="4766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41"/>
        <w:gridCol w:w="7536"/>
      </w:tblGrid>
      <w:tr w:rsidR="00322665" w14:paraId="06395C4C" w14:textId="77777777" w:rsidTr="00322665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4BB2D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/ komponent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D85FD" w14:textId="77777777" w:rsidR="00322665" w:rsidRDefault="00322665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minimalne parametry techniczne</w:t>
            </w:r>
          </w:p>
        </w:tc>
      </w:tr>
      <w:tr w:rsidR="00322665" w14:paraId="5388EF23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21B10F82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CBD6E" w14:textId="27A5991E" w:rsidR="00322665" w:rsidRDefault="00322665" w:rsidP="00002F9C">
            <w:pPr>
              <w:pStyle w:val="Zawartotabeli"/>
              <w:jc w:val="both"/>
            </w:pPr>
            <w:r>
              <w:rPr>
                <w:sz w:val="20"/>
                <w:szCs w:val="20"/>
              </w:rPr>
              <w:t xml:space="preserve">Minimum </w:t>
            </w:r>
            <w:r w:rsidR="00716843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 xml:space="preserve"> miesięcy gwarancji realizowanej przez producenta dla wszystkich urządzeń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i komponentów elektrycznych oraz nie-elektrycznych, z czasem reakcji w miejscu instalacji do końca następnego dnia roboczego od przyjęcia zgłoszenia i z naprawą do 2 dni roboczych od chwili zdiagnozowania usterki, z możliwością zgłaszania awarii poprzez linię telefoniczną producenta lub firmy serwisującej lub Wykonawcy przedmiotu zamówienia.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br/>
            </w:r>
          </w:p>
          <w:p w14:paraId="1DEBD837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Możliwość sprawdzenia statusu gwarancji poprzez stronę internetową producenta lub telefonicznie.</w:t>
            </w:r>
          </w:p>
        </w:tc>
      </w:tr>
      <w:tr w:rsidR="00322665" w14:paraId="6A26268F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24184BC6" w14:textId="77777777" w:rsidR="00322665" w:rsidRDefault="00322665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 backupowy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F9FC1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integrujący oprogramowanie serwerowe z backup’owym, wykorzystujący zintegrowaną macierz dyskową</w:t>
            </w:r>
          </w:p>
        </w:tc>
      </w:tr>
      <w:tr w:rsidR="00322665" w14:paraId="172823CC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6E327E1D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z zasilaczem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1D197F" w14:textId="2ADB4945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serwera w rozmiarze 2U, w komplecie z szynami montażowymi do montażu w szafie RACK 19”, z zasilaczami redundantnymi o mocy min. 600W każdy, z co najmniej 8 zatokami i kieszeniami na dyski HDD/SSD 3.5”/2.5”</w:t>
            </w:r>
          </w:p>
        </w:tc>
      </w:tr>
      <w:tr w:rsidR="00322665" w14:paraId="17A85162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52E9DE5F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Interfejsy sieciowe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04C20B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 niezależne porty RJ45 o prędkości 10Gb, oraz 1 osobny port do zarządzania serwisowego typu IPMI</w:t>
            </w:r>
          </w:p>
        </w:tc>
      </w:tr>
      <w:tr w:rsidR="00322665" w14:paraId="05E742C3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49870E00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CPU i RAM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0E99E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Procesor obsługujący minimum 16 wątkami z pełną prędkością zegara o min. częstotliwości 3.6GHz, z minimum 2 układami AVX-512 FMA, ze współczynnikiem TDP nie przekraczającym 105W, sprzęgnięty z 128GB pamięci RAM pracującej z korekcją ECC i obsadzonej równomiernie w 4 slotach, w celu maksymalizacji wydajności magistrali</w:t>
            </w:r>
          </w:p>
        </w:tc>
      </w:tr>
      <w:tr w:rsidR="00322665" w14:paraId="1D62226D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4E01CA99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danych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631D0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Magazyn zawierający 2 dyski SSD SATA o pojemności min. 960GB każdy i trwałości min. DWPD 1.0 (5 lat), oraz 6 dysków HDD SATA 3.5” typu Enterprise o pojemności min. 8TB każdy, składających się na zintegrowaną macierz dyskową z co najmniej 66% przestrzenią fizyczną do wykorzystania na robocze zasoby serwerowe i backupowe</w:t>
            </w:r>
          </w:p>
        </w:tc>
      </w:tr>
      <w:tr w:rsidR="00322665" w14:paraId="42D58EBA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2BA4CD33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Kompresja, szyfrowanie i akceleracja backupu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60E382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 backupowy musi mieć sprzętowe wsparcie dla kompresji, szyfrowania i akceleracji backupu dla danych bazodanowych, skanów dokumentów załączanych do dokumentacji medycznej na poziomie systemu plików oraz wszelkich innych danych, w tym co najmniej 8 strumieni wideo 4k z monitoringu, z zachowaniem sprzętowego  (tj. bez utylizacji CPU) dekodowania dla kodeków AV1 i H265 oraz sprzętowego kodowania/konwersji do kodeków h265 w celu minimalizacji objętości danych na macierzy dyskowej. W przypadku funkcji wykorzystujących kartę graficzną, musi ona posiadać co najmniej 12GB VRAM</w:t>
            </w:r>
          </w:p>
        </w:tc>
      </w:tr>
      <w:tr w:rsidR="00322665" w14:paraId="74890DC3" w14:textId="77777777" w:rsidTr="00322665"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</w:tcPr>
          <w:p w14:paraId="1B8C8D8D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1F0D05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musi być kompatybilne z oprogramowaniem serwerów do archiwizacji bazy danych oprogramowania do obsługi poradni oraz archiwizacji dokumentacji medycznej i skanów dokumentów dołączanych do dokumentacji oraz umożliwiać pełną integrację z w/w serwerami.</w:t>
            </w:r>
          </w:p>
          <w:p w14:paraId="14437EDE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backupowe musi natywnie obsługiwać połączenia VPN co najmniej dla protokołów IPSEC i Wireguard w celu umożliwienia nawiązywania szyfrowanych połączeń z klastrem serwerów HCI również w scenariuszu umiejscowienia serwera backupowego w lokalizacji oddalonej od serwera/klastra archiwizującego bazy danych.</w:t>
            </w:r>
          </w:p>
          <w:p w14:paraId="7C66BC79" w14:textId="77777777" w:rsidR="00322665" w:rsidRDefault="00322665" w:rsidP="00002F9C">
            <w:pPr>
              <w:pStyle w:val="Zawartotabeli"/>
              <w:jc w:val="both"/>
            </w:pPr>
            <w:r>
              <w:rPr>
                <w:sz w:val="20"/>
                <w:szCs w:val="20"/>
              </w:rPr>
              <w:t>Oprogramowanie backupowe musi używać mechanizmów deduplikacji, przyrostowych, wersjonowania oraz kompresji danych (co najmniej algorytmami zstd=zstandard).</w:t>
            </w:r>
          </w:p>
          <w:p w14:paraId="0C596625" w14:textId="77777777" w:rsidR="00322665" w:rsidRDefault="00322665" w:rsidP="00002F9C"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oprogramowania backupowego powinny być dostępne narzędzia klienckie dla systemów Linux, jak również narzędzia przyjmujące dane do archiwizacji poprzez udostępnianie zasoby sieciowych NFS i SAMBA dla klientów Linux i Windows w sieci lokalnej placówki.</w:t>
            </w:r>
          </w:p>
        </w:tc>
      </w:tr>
    </w:tbl>
    <w:p w14:paraId="48E1E4B4" w14:textId="77777777" w:rsidR="00571581" w:rsidRDefault="00571581" w:rsidP="00002F9C">
      <w:pPr>
        <w:jc w:val="both"/>
        <w:rPr>
          <w:sz w:val="20"/>
          <w:szCs w:val="20"/>
        </w:rPr>
      </w:pPr>
    </w:p>
    <w:bookmarkEnd w:id="1"/>
    <w:p w14:paraId="3E6D1FD9" w14:textId="6C8925A8" w:rsidR="002449FD" w:rsidRPr="002449FD" w:rsidRDefault="002449FD" w:rsidP="002449FD">
      <w:pPr>
        <w:jc w:val="both"/>
        <w:rPr>
          <w:sz w:val="20"/>
          <w:szCs w:val="20"/>
        </w:rPr>
      </w:pPr>
      <w:r w:rsidRPr="002449FD">
        <w:rPr>
          <w:sz w:val="20"/>
          <w:szCs w:val="20"/>
        </w:rPr>
        <w:t>Wykonawca przeprowadzi personelowi Zamawiającego w ramach przedmiotu zamówienia szkolenie sprzętowe.</w:t>
      </w:r>
    </w:p>
    <w:p w14:paraId="1D0FB8C4" w14:textId="7B6BAEC8" w:rsidR="00571581" w:rsidRDefault="002449FD" w:rsidP="002449FD">
      <w:pPr>
        <w:jc w:val="both"/>
        <w:rPr>
          <w:sz w:val="20"/>
          <w:szCs w:val="20"/>
        </w:rPr>
      </w:pPr>
      <w:r w:rsidRPr="002449FD">
        <w:rPr>
          <w:sz w:val="20"/>
          <w:szCs w:val="20"/>
        </w:rPr>
        <w:t>W ramach przedmiotu zamówienia Wykonawca zapewni serwis dostarczonego urządzenia przez cały okres gwarancji na warunkach określonych w umowie.</w:t>
      </w:r>
    </w:p>
    <w:sectPr w:rsidR="00571581">
      <w:headerReference w:type="default" r:id="rId6"/>
      <w:footerReference w:type="default" r:id="rId7"/>
      <w:pgSz w:w="11906" w:h="16838"/>
      <w:pgMar w:top="671" w:right="1134" w:bottom="579" w:left="1134" w:header="0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9EDBC" w14:textId="77777777" w:rsidR="00CB79FF" w:rsidRDefault="00CB79FF" w:rsidP="002D0C8A">
      <w:r>
        <w:separator/>
      </w:r>
    </w:p>
  </w:endnote>
  <w:endnote w:type="continuationSeparator" w:id="0">
    <w:p w14:paraId="3C993A8F" w14:textId="77777777" w:rsidR="00CB79FF" w:rsidRDefault="00CB79FF" w:rsidP="002D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46926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A586D51" w14:textId="56909E91" w:rsidR="004D0E5B" w:rsidRDefault="004D0E5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608D7B2" w14:textId="77777777" w:rsidR="004D0E5B" w:rsidRDefault="004D0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F3B02" w14:textId="77777777" w:rsidR="00CB79FF" w:rsidRDefault="00CB79FF" w:rsidP="002D0C8A">
      <w:r>
        <w:separator/>
      </w:r>
    </w:p>
  </w:footnote>
  <w:footnote w:type="continuationSeparator" w:id="0">
    <w:p w14:paraId="149E5741" w14:textId="77777777" w:rsidR="00CB79FF" w:rsidRDefault="00CB79FF" w:rsidP="002D0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E2D3" w14:textId="4DA3D0D0" w:rsidR="002D0C8A" w:rsidRDefault="002D0C8A">
    <w:pPr>
      <w:pStyle w:val="Nagwek"/>
    </w:pPr>
    <w:r>
      <w:rPr>
        <w:noProof/>
      </w:rPr>
      <w:drawing>
        <wp:inline distT="0" distB="0" distL="0" distR="0" wp14:anchorId="208E987A" wp14:editId="197C3CCA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81"/>
    <w:rsid w:val="00002F9C"/>
    <w:rsid w:val="00032C16"/>
    <w:rsid w:val="000F0D28"/>
    <w:rsid w:val="002449FD"/>
    <w:rsid w:val="002A07E7"/>
    <w:rsid w:val="002D0C8A"/>
    <w:rsid w:val="00322665"/>
    <w:rsid w:val="00323A4D"/>
    <w:rsid w:val="00325906"/>
    <w:rsid w:val="003F3E4F"/>
    <w:rsid w:val="00417A0C"/>
    <w:rsid w:val="004D0E5B"/>
    <w:rsid w:val="00571581"/>
    <w:rsid w:val="00585D2C"/>
    <w:rsid w:val="005D2754"/>
    <w:rsid w:val="0061788B"/>
    <w:rsid w:val="006728DE"/>
    <w:rsid w:val="006E34DE"/>
    <w:rsid w:val="00716843"/>
    <w:rsid w:val="007A0A3C"/>
    <w:rsid w:val="007B6A11"/>
    <w:rsid w:val="008752AF"/>
    <w:rsid w:val="00896A3F"/>
    <w:rsid w:val="00897C99"/>
    <w:rsid w:val="00913BE8"/>
    <w:rsid w:val="00B62439"/>
    <w:rsid w:val="00C2067B"/>
    <w:rsid w:val="00C50C05"/>
    <w:rsid w:val="00CB79FF"/>
    <w:rsid w:val="00CC285D"/>
    <w:rsid w:val="00D132A0"/>
    <w:rsid w:val="00D97622"/>
    <w:rsid w:val="00DD12D5"/>
    <w:rsid w:val="00F5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E746"/>
  <w15:docId w15:val="{C072D3A4-D519-4148-902D-5D2322A5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1">
    <w:name w:val="normal1"/>
    <w:qFormat/>
    <w:rPr>
      <w:rFonts w:eastAsia="Liberation Serif" w:cs="Liberation Serif"/>
      <w:kern w:val="0"/>
    </w:rPr>
  </w:style>
  <w:style w:type="paragraph" w:styleId="Stopka">
    <w:name w:val="footer"/>
    <w:basedOn w:val="Normalny"/>
    <w:link w:val="StopkaZnak"/>
    <w:uiPriority w:val="99"/>
    <w:unhideWhenUsed/>
    <w:rsid w:val="002D0C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D0C8A"/>
    <w:rPr>
      <w:rFonts w:cs="Mangal"/>
      <w:szCs w:val="21"/>
    </w:rPr>
  </w:style>
  <w:style w:type="paragraph" w:customStyle="1" w:styleId="Default">
    <w:name w:val="Default"/>
    <w:rsid w:val="002D0C8A"/>
    <w:pPr>
      <w:suppressAutoHyphens w:val="0"/>
      <w:autoSpaceDE w:val="0"/>
      <w:autoSpaceDN w:val="0"/>
      <w:adjustRightInd w:val="0"/>
    </w:pPr>
    <w:rPr>
      <w:rFonts w:ascii="Calibri" w:eastAsiaTheme="minorHAnsi" w:hAnsi="Calibri" w:cs="Calibri"/>
      <w:color w:val="000000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Romaszkan Maciej</dc:creator>
  <cp:lastModifiedBy>Romaszkan Maciej</cp:lastModifiedBy>
  <cp:revision>18</cp:revision>
  <dcterms:created xsi:type="dcterms:W3CDTF">2025-04-03T14:35:00Z</dcterms:created>
  <dcterms:modified xsi:type="dcterms:W3CDTF">2025-04-04T12:24:00Z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2025-03-26T12:32:13Z</dcterms:created>
  <dc:creator>Autor Nieznany</dc:creator>
  <dc:description/>
  <dc:language>pl-PL</dc:language>
  <cp:lastModifiedBy>Autor Nieznany</cp:lastModifiedBy>
  <cp:lastPrinted>2025-03-26T12:32:24Z</cp:lastPrinted>
  <dcterms:modified xsi:type="dcterms:W3CDTF">2025-03-26T12:32:32Z</dcterms:modified>
  <cp:revision>2</cp:revision>
  <dc:subject/>
  <dc:title/>
</cp:coreProperties>
</file>